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E0" w:rsidRDefault="000F24E0" w:rsidP="000F24E0">
      <w:pPr>
        <w:tabs>
          <w:tab w:val="left" w:pos="2184"/>
        </w:tabs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ЮРЬЕВСКАЯ СЕЛЬСКАЯ ДУМА</w:t>
      </w:r>
    </w:p>
    <w:p w:rsidR="000F24E0" w:rsidRDefault="000F24E0" w:rsidP="000F24E0">
      <w:pPr>
        <w:tabs>
          <w:tab w:val="left" w:pos="2184"/>
        </w:tabs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КОТЕЛЬНИЧСКОГО РАЙОНА  КИРОВСКОЙ ОБЛАСТИ</w:t>
      </w:r>
    </w:p>
    <w:p w:rsidR="000F24E0" w:rsidRDefault="000F24E0" w:rsidP="000F24E0">
      <w:pPr>
        <w:tabs>
          <w:tab w:val="left" w:pos="2184"/>
        </w:tabs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четвёртого созыва</w:t>
      </w:r>
    </w:p>
    <w:p w:rsidR="000F24E0" w:rsidRDefault="000F24E0" w:rsidP="000F24E0">
      <w:pPr>
        <w:tabs>
          <w:tab w:val="left" w:pos="2184"/>
        </w:tabs>
        <w:jc w:val="center"/>
        <w:rPr>
          <w:rFonts w:ascii="Arial" w:hAnsi="Arial"/>
          <w:sz w:val="28"/>
          <w:szCs w:val="28"/>
        </w:rPr>
      </w:pPr>
    </w:p>
    <w:p w:rsidR="000F24E0" w:rsidRDefault="000F24E0" w:rsidP="000F24E0">
      <w:pPr>
        <w:tabs>
          <w:tab w:val="left" w:pos="2184"/>
        </w:tabs>
        <w:jc w:val="center"/>
        <w:rPr>
          <w:rFonts w:ascii="Arial" w:hAnsi="Arial"/>
          <w:b/>
          <w:spacing w:val="80"/>
          <w:sz w:val="28"/>
          <w:szCs w:val="28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p w:rsidR="000F24E0" w:rsidRDefault="000F24E0" w:rsidP="000F24E0">
      <w:pPr>
        <w:tabs>
          <w:tab w:val="left" w:pos="2184"/>
        </w:tabs>
        <w:jc w:val="center"/>
        <w:rPr>
          <w:rFonts w:ascii="Arial" w:hAnsi="Arial"/>
          <w:b/>
          <w:spacing w:val="80"/>
          <w:sz w:val="28"/>
          <w:szCs w:val="28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9"/>
        <w:gridCol w:w="6059"/>
        <w:gridCol w:w="1697"/>
      </w:tblGrid>
      <w:tr w:rsidR="000F24E0" w:rsidTr="000F24E0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0F24E0" w:rsidRDefault="00DD2C73" w:rsidP="00F22E1A">
            <w:pPr>
              <w:pStyle w:val="a5"/>
              <w:tabs>
                <w:tab w:val="left" w:pos="2184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  <w:r w:rsidR="00F22E1A" w:rsidRPr="001B5CAF">
              <w:rPr>
                <w:sz w:val="28"/>
                <w:szCs w:val="28"/>
              </w:rPr>
              <w:t>.202</w:t>
            </w:r>
            <w:r w:rsidR="00641594" w:rsidRPr="001B5CAF">
              <w:rPr>
                <w:sz w:val="28"/>
                <w:szCs w:val="28"/>
              </w:rPr>
              <w:t>1</w:t>
            </w:r>
          </w:p>
        </w:tc>
        <w:tc>
          <w:tcPr>
            <w:tcW w:w="6060" w:type="dxa"/>
            <w:hideMark/>
          </w:tcPr>
          <w:p w:rsidR="000F24E0" w:rsidRDefault="000F24E0">
            <w:pPr>
              <w:pStyle w:val="a5"/>
              <w:tabs>
                <w:tab w:val="left" w:pos="2184"/>
              </w:tabs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0F24E0" w:rsidRDefault="00DD2C73">
            <w:pPr>
              <w:pStyle w:val="a5"/>
              <w:tabs>
                <w:tab w:val="left" w:pos="2184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</w:tr>
      <w:tr w:rsidR="000F24E0" w:rsidTr="009B571F">
        <w:trPr>
          <w:trHeight w:val="370"/>
        </w:trPr>
        <w:tc>
          <w:tcPr>
            <w:tcW w:w="1710" w:type="dxa"/>
          </w:tcPr>
          <w:p w:rsidR="000F24E0" w:rsidRDefault="000F24E0">
            <w:pPr>
              <w:pStyle w:val="a5"/>
              <w:tabs>
                <w:tab w:val="left" w:pos="2184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0F24E0" w:rsidRDefault="000F24E0">
            <w:pPr>
              <w:pStyle w:val="a5"/>
              <w:tabs>
                <w:tab w:val="left" w:pos="2184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0F24E0" w:rsidRDefault="000F24E0">
            <w:pPr>
              <w:pStyle w:val="a5"/>
              <w:tabs>
                <w:tab w:val="left" w:pos="2184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0F24E0" w:rsidRDefault="000F24E0" w:rsidP="000F24E0">
      <w:pPr>
        <w:rPr>
          <w:sz w:val="25"/>
          <w:szCs w:val="25"/>
        </w:rPr>
      </w:pPr>
    </w:p>
    <w:tbl>
      <w:tblPr>
        <w:tblW w:w="10215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13"/>
        <w:gridCol w:w="6518"/>
        <w:gridCol w:w="1984"/>
      </w:tblGrid>
      <w:tr w:rsidR="000F24E0" w:rsidTr="000F24E0">
        <w:tc>
          <w:tcPr>
            <w:tcW w:w="1714" w:type="dxa"/>
          </w:tcPr>
          <w:p w:rsidR="000F24E0" w:rsidRDefault="000F24E0">
            <w:pPr>
              <w:pStyle w:val="a5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191507" w:rsidRDefault="00345C89" w:rsidP="0019150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b/>
                <w:bCs/>
                <w:sz w:val="28"/>
                <w:szCs w:val="28"/>
              </w:rPr>
              <w:t xml:space="preserve">О внесении изменений в </w:t>
            </w:r>
            <w:r w:rsidR="00191507">
              <w:rPr>
                <w:b/>
                <w:bCs/>
                <w:sz w:val="28"/>
                <w:szCs w:val="28"/>
              </w:rPr>
              <w:t xml:space="preserve">решение Юрьевской сельской Думы от 30.09.2021 № 236 </w:t>
            </w:r>
          </w:p>
          <w:p w:rsidR="000F24E0" w:rsidRDefault="00191507" w:rsidP="001915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«Об утверждении штатного расписания»</w:t>
            </w:r>
            <w:bookmarkEnd w:id="0"/>
          </w:p>
        </w:tc>
        <w:tc>
          <w:tcPr>
            <w:tcW w:w="1985" w:type="dxa"/>
          </w:tcPr>
          <w:p w:rsidR="000F24E0" w:rsidRDefault="000F24E0">
            <w:pPr>
              <w:pStyle w:val="a5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0F24E0" w:rsidRPr="002F04CB" w:rsidRDefault="000F24E0" w:rsidP="002F04CB">
      <w:pPr>
        <w:pStyle w:val="a3"/>
        <w:spacing w:before="0" w:beforeAutospacing="0" w:after="0" w:line="276" w:lineRule="auto"/>
        <w:jc w:val="both"/>
        <w:rPr>
          <w:color w:val="000000"/>
          <w:sz w:val="28"/>
          <w:szCs w:val="28"/>
        </w:rPr>
      </w:pPr>
      <w:r w:rsidRPr="009B571F">
        <w:rPr>
          <w:sz w:val="28"/>
          <w:szCs w:val="28"/>
        </w:rPr>
        <w:t xml:space="preserve">         </w:t>
      </w:r>
      <w:r w:rsidR="00EC1349">
        <w:rPr>
          <w:sz w:val="28"/>
          <w:szCs w:val="28"/>
        </w:rPr>
        <w:t>Н</w:t>
      </w:r>
      <w:r w:rsidRPr="009B571F">
        <w:rPr>
          <w:sz w:val="28"/>
          <w:szCs w:val="28"/>
        </w:rPr>
        <w:t xml:space="preserve">а основании </w:t>
      </w:r>
      <w:r w:rsidR="00191507">
        <w:rPr>
          <w:sz w:val="28"/>
          <w:szCs w:val="28"/>
        </w:rPr>
        <w:t>постановления администрации Котельничского района Кировской области от 06.10.2021</w:t>
      </w:r>
      <w:r w:rsidR="0038503E">
        <w:rPr>
          <w:sz w:val="28"/>
          <w:szCs w:val="28"/>
        </w:rPr>
        <w:t xml:space="preserve"> №181</w:t>
      </w:r>
      <w:r w:rsidR="00EC1349">
        <w:rPr>
          <w:sz w:val="28"/>
          <w:szCs w:val="28"/>
        </w:rPr>
        <w:t xml:space="preserve"> «О внесении изменений в постановление администрации Котельничского района Кировской области от 08.11.2017 №533 «Об утверждении Порядка предоставления иных межбюджетных трансфертов из бюджета муниципального образования Котельничский муниципальный район Кировской области бюджетам муниципальных образований Котельничского района Кировской области на содержание муниципальной пожарной охраны» </w:t>
      </w:r>
      <w:r w:rsidRPr="009B571F">
        <w:rPr>
          <w:sz w:val="28"/>
          <w:szCs w:val="28"/>
        </w:rPr>
        <w:t xml:space="preserve">Юрьевская  сельская Дума </w:t>
      </w:r>
      <w:r w:rsidRPr="009B571F">
        <w:rPr>
          <w:b/>
          <w:bCs/>
          <w:color w:val="000000"/>
          <w:sz w:val="28"/>
          <w:szCs w:val="28"/>
        </w:rPr>
        <w:t>РЕШИЛА</w:t>
      </w:r>
      <w:r w:rsidRPr="009B571F">
        <w:rPr>
          <w:color w:val="000000"/>
          <w:sz w:val="28"/>
          <w:szCs w:val="28"/>
        </w:rPr>
        <w:t>:</w:t>
      </w:r>
    </w:p>
    <w:p w:rsidR="009B571F" w:rsidRPr="009B571F" w:rsidRDefault="002F04CB" w:rsidP="009B571F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571F" w:rsidRPr="009B571F">
        <w:rPr>
          <w:sz w:val="28"/>
          <w:szCs w:val="28"/>
        </w:rPr>
        <w:t xml:space="preserve">. </w:t>
      </w:r>
      <w:r w:rsidR="003A2506">
        <w:rPr>
          <w:sz w:val="28"/>
          <w:szCs w:val="28"/>
        </w:rPr>
        <w:t>Внести изменения в ш</w:t>
      </w:r>
      <w:r w:rsidR="00EC1349">
        <w:rPr>
          <w:sz w:val="28"/>
          <w:szCs w:val="28"/>
        </w:rPr>
        <w:t xml:space="preserve">татное расписание </w:t>
      </w:r>
      <w:r w:rsidR="009B571F" w:rsidRPr="009B571F">
        <w:rPr>
          <w:sz w:val="28"/>
          <w:szCs w:val="28"/>
        </w:rPr>
        <w:t xml:space="preserve"> муниципальной пожарной охраны администрации Юрьевского сельского по</w:t>
      </w:r>
      <w:r>
        <w:rPr>
          <w:sz w:val="28"/>
          <w:szCs w:val="28"/>
        </w:rPr>
        <w:t>селения,</w:t>
      </w:r>
      <w:r w:rsidR="006D4B0C">
        <w:rPr>
          <w:sz w:val="28"/>
          <w:szCs w:val="28"/>
        </w:rPr>
        <w:t xml:space="preserve"> утвержденное Юрьевской сельской Думой от 30.09.2021 №236 изложить в следующей редакции</w:t>
      </w:r>
      <w:r w:rsidR="009B571F" w:rsidRPr="009B571F">
        <w:rPr>
          <w:sz w:val="28"/>
          <w:szCs w:val="28"/>
        </w:rPr>
        <w:t xml:space="preserve"> </w:t>
      </w:r>
      <w:r w:rsidR="006D4B0C">
        <w:rPr>
          <w:sz w:val="28"/>
          <w:szCs w:val="28"/>
        </w:rPr>
        <w:t>согласно приложению № 5</w:t>
      </w:r>
    </w:p>
    <w:p w:rsidR="000F24E0" w:rsidRDefault="002F04CB" w:rsidP="000F24E0">
      <w:pPr>
        <w:suppressAutoHyphens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</w:t>
      </w:r>
      <w:r w:rsidR="000F24E0" w:rsidRPr="009B571F">
        <w:rPr>
          <w:color w:val="000000"/>
          <w:sz w:val="28"/>
          <w:szCs w:val="28"/>
        </w:rPr>
        <w:t>.</w:t>
      </w:r>
      <w:r w:rsidR="009B571F" w:rsidRPr="009B571F">
        <w:rPr>
          <w:color w:val="000000"/>
          <w:sz w:val="28"/>
          <w:szCs w:val="28"/>
        </w:rPr>
        <w:t xml:space="preserve"> </w:t>
      </w:r>
      <w:r w:rsidR="000F24E0" w:rsidRPr="009B571F">
        <w:rPr>
          <w:color w:val="000000"/>
          <w:sz w:val="28"/>
          <w:szCs w:val="28"/>
        </w:rPr>
        <w:t>Настоящее решение вступает в силу  в соответствии с действующим законодательством и распространяется на п</w:t>
      </w:r>
      <w:r>
        <w:rPr>
          <w:color w:val="000000"/>
          <w:sz w:val="28"/>
          <w:szCs w:val="28"/>
        </w:rPr>
        <w:t>равоотношения, возникшие с 01.09</w:t>
      </w:r>
      <w:r w:rsidR="00641594" w:rsidRPr="009B571F">
        <w:rPr>
          <w:color w:val="000000"/>
          <w:sz w:val="28"/>
          <w:szCs w:val="28"/>
        </w:rPr>
        <w:t>.2021</w:t>
      </w:r>
      <w:r w:rsidR="000F24E0" w:rsidRPr="009B571F">
        <w:rPr>
          <w:color w:val="000000"/>
          <w:sz w:val="28"/>
          <w:szCs w:val="28"/>
        </w:rPr>
        <w:t xml:space="preserve"> года.</w:t>
      </w:r>
    </w:p>
    <w:p w:rsidR="00DD2C73" w:rsidRDefault="00DD2C73" w:rsidP="000F24E0">
      <w:pPr>
        <w:suppressAutoHyphens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3A2506" w:rsidRPr="003A2506" w:rsidRDefault="003A2506" w:rsidP="003A2506">
      <w:pPr>
        <w:tabs>
          <w:tab w:val="left" w:pos="426"/>
        </w:tabs>
        <w:suppressAutoHyphens/>
        <w:overflowPunct w:val="0"/>
        <w:autoSpaceDE w:val="0"/>
        <w:jc w:val="both"/>
        <w:rPr>
          <w:b/>
          <w:sz w:val="28"/>
          <w:szCs w:val="28"/>
          <w:lang w:eastAsia="ar-SA"/>
        </w:rPr>
      </w:pPr>
      <w:r w:rsidRPr="003A2506">
        <w:rPr>
          <w:b/>
          <w:sz w:val="28"/>
          <w:szCs w:val="28"/>
          <w:lang w:eastAsia="ar-SA"/>
        </w:rPr>
        <w:t xml:space="preserve">Председатель </w:t>
      </w:r>
    </w:p>
    <w:p w:rsidR="003A2506" w:rsidRPr="003A2506" w:rsidRDefault="003A2506" w:rsidP="003A2506">
      <w:pPr>
        <w:tabs>
          <w:tab w:val="left" w:pos="426"/>
          <w:tab w:val="left" w:pos="7306"/>
        </w:tabs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  <w:r w:rsidRPr="003A2506">
        <w:rPr>
          <w:b/>
          <w:sz w:val="28"/>
          <w:szCs w:val="28"/>
          <w:lang w:eastAsia="ar-SA"/>
        </w:rPr>
        <w:t>Юрьевской сельской Думы</w:t>
      </w:r>
      <w:r w:rsidRPr="003A2506">
        <w:rPr>
          <w:b/>
          <w:sz w:val="28"/>
          <w:szCs w:val="28"/>
          <w:lang w:eastAsia="ar-SA"/>
        </w:rPr>
        <w:tab/>
        <w:t>З.М. Косых</w:t>
      </w:r>
    </w:p>
    <w:p w:rsidR="00DD2C73" w:rsidRPr="009B571F" w:rsidRDefault="00DD2C73" w:rsidP="000F24E0">
      <w:pPr>
        <w:suppressAutoHyphens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0F24E0" w:rsidRPr="009B571F" w:rsidRDefault="000F24E0" w:rsidP="000F24E0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  <w:r w:rsidRPr="009B571F">
        <w:rPr>
          <w:rFonts w:ascii="Times New Roman" w:hAnsi="Times New Roman"/>
          <w:b/>
          <w:sz w:val="28"/>
          <w:szCs w:val="28"/>
        </w:rPr>
        <w:t>Глава</w:t>
      </w:r>
    </w:p>
    <w:p w:rsidR="000F24E0" w:rsidRPr="009B571F" w:rsidRDefault="000F24E0" w:rsidP="000F24E0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  <w:r w:rsidRPr="009B571F">
        <w:rPr>
          <w:rFonts w:ascii="Times New Roman" w:hAnsi="Times New Roman"/>
          <w:b/>
          <w:sz w:val="28"/>
          <w:szCs w:val="28"/>
        </w:rPr>
        <w:t xml:space="preserve">Юрьевского сельского поселения                  </w:t>
      </w:r>
      <w:r w:rsidR="009B571F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9B571F">
        <w:rPr>
          <w:rFonts w:ascii="Times New Roman" w:hAnsi="Times New Roman"/>
          <w:b/>
          <w:sz w:val="28"/>
          <w:szCs w:val="28"/>
        </w:rPr>
        <w:t xml:space="preserve">     А.Н. Береснев</w:t>
      </w:r>
    </w:p>
    <w:p w:rsidR="000F24E0" w:rsidRPr="009B571F" w:rsidRDefault="000F24E0" w:rsidP="000F24E0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  <w:r w:rsidRPr="009B571F">
        <w:rPr>
          <w:sz w:val="28"/>
          <w:szCs w:val="28"/>
        </w:rPr>
        <w:t>«</w:t>
      </w:r>
      <w:r w:rsidR="00F043A7">
        <w:rPr>
          <w:sz w:val="28"/>
          <w:szCs w:val="28"/>
        </w:rPr>
        <w:t xml:space="preserve">  20</w:t>
      </w:r>
      <w:r w:rsidR="00B61758">
        <w:rPr>
          <w:sz w:val="28"/>
          <w:szCs w:val="28"/>
        </w:rPr>
        <w:t xml:space="preserve">  </w:t>
      </w:r>
      <w:r w:rsidRPr="009B571F">
        <w:rPr>
          <w:sz w:val="28"/>
          <w:szCs w:val="28"/>
        </w:rPr>
        <w:t xml:space="preserve">»  </w:t>
      </w:r>
      <w:r w:rsidR="002F04CB">
        <w:rPr>
          <w:sz w:val="28"/>
          <w:szCs w:val="28"/>
        </w:rPr>
        <w:t xml:space="preserve"> </w:t>
      </w:r>
      <w:r w:rsidR="00F043A7">
        <w:rPr>
          <w:sz w:val="28"/>
          <w:szCs w:val="28"/>
        </w:rPr>
        <w:t>октября  2021</w:t>
      </w:r>
      <w:r w:rsidR="002F04CB">
        <w:rPr>
          <w:sz w:val="28"/>
          <w:szCs w:val="28"/>
        </w:rPr>
        <w:t xml:space="preserve"> </w:t>
      </w:r>
      <w:r w:rsidRPr="009B571F">
        <w:rPr>
          <w:sz w:val="28"/>
          <w:szCs w:val="28"/>
        </w:rPr>
        <w:t xml:space="preserve"> г.</w:t>
      </w:r>
    </w:p>
    <w:p w:rsidR="000F24E0" w:rsidRPr="009B571F" w:rsidRDefault="000F24E0" w:rsidP="000F24E0">
      <w:pPr>
        <w:spacing w:line="276" w:lineRule="auto"/>
        <w:jc w:val="both"/>
        <w:rPr>
          <w:sz w:val="28"/>
          <w:szCs w:val="28"/>
        </w:rPr>
      </w:pPr>
      <w:r w:rsidRPr="009B571F">
        <w:rPr>
          <w:sz w:val="28"/>
          <w:szCs w:val="28"/>
        </w:rPr>
        <w:t>Правовая и антикоррупционная экспертиза проведена:</w:t>
      </w:r>
    </w:p>
    <w:p w:rsidR="000F24E0" w:rsidRPr="009B571F" w:rsidRDefault="000F24E0" w:rsidP="000F24E0">
      <w:pPr>
        <w:spacing w:line="276" w:lineRule="auto"/>
        <w:jc w:val="both"/>
        <w:rPr>
          <w:sz w:val="28"/>
          <w:szCs w:val="28"/>
        </w:rPr>
      </w:pPr>
      <w:r w:rsidRPr="009B571F">
        <w:rPr>
          <w:sz w:val="28"/>
          <w:szCs w:val="28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D54844" w:rsidRPr="009B571F" w:rsidRDefault="000F24E0" w:rsidP="000F24E0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  <w:r w:rsidRPr="009B571F">
        <w:rPr>
          <w:rFonts w:ascii="Times New Roman" w:hAnsi="Times New Roman"/>
          <w:b/>
          <w:sz w:val="28"/>
          <w:szCs w:val="28"/>
        </w:rPr>
        <w:t>Глава</w:t>
      </w:r>
    </w:p>
    <w:p w:rsidR="000F24E0" w:rsidRPr="009B571F" w:rsidRDefault="000F24E0" w:rsidP="000F24E0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  <w:r w:rsidRPr="009B571F">
        <w:rPr>
          <w:rFonts w:ascii="Times New Roman" w:hAnsi="Times New Roman"/>
          <w:b/>
          <w:sz w:val="28"/>
          <w:szCs w:val="28"/>
        </w:rPr>
        <w:t>Юрьевского сельского поселения                                             А.Н.</w:t>
      </w:r>
      <w:r w:rsidR="0051427F" w:rsidRPr="009B571F">
        <w:rPr>
          <w:rFonts w:ascii="Times New Roman" w:hAnsi="Times New Roman"/>
          <w:b/>
          <w:sz w:val="28"/>
          <w:szCs w:val="28"/>
        </w:rPr>
        <w:t xml:space="preserve"> </w:t>
      </w:r>
      <w:r w:rsidRPr="009B571F">
        <w:rPr>
          <w:rFonts w:ascii="Times New Roman" w:hAnsi="Times New Roman"/>
          <w:b/>
          <w:sz w:val="28"/>
          <w:szCs w:val="28"/>
        </w:rPr>
        <w:t xml:space="preserve">Береснев    </w:t>
      </w:r>
    </w:p>
    <w:p w:rsidR="000F24E0" w:rsidRPr="000F24E0" w:rsidRDefault="000F24E0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0F24E0" w:rsidRDefault="000F24E0" w:rsidP="000F24E0"/>
    <w:p w:rsidR="000F24E0" w:rsidRDefault="000F24E0" w:rsidP="000F24E0"/>
    <w:p w:rsidR="000F24E0" w:rsidRDefault="000F24E0" w:rsidP="000F24E0">
      <w:pPr>
        <w:tabs>
          <w:tab w:val="left" w:pos="2985"/>
        </w:tabs>
      </w:pPr>
    </w:p>
    <w:p w:rsidR="000F24E0" w:rsidRDefault="000F24E0" w:rsidP="000F24E0">
      <w:pPr>
        <w:sectPr w:rsidR="000F24E0" w:rsidSect="00F043A7">
          <w:pgSz w:w="11906" w:h="16838"/>
          <w:pgMar w:top="567" w:right="851" w:bottom="284" w:left="1701" w:header="709" w:footer="709" w:gutter="0"/>
          <w:cols w:space="720"/>
        </w:sectPr>
      </w:pPr>
    </w:p>
    <w:p w:rsidR="0051427F" w:rsidRDefault="000F24E0" w:rsidP="002F04CB">
      <w:pPr>
        <w:tabs>
          <w:tab w:val="left" w:pos="7410"/>
        </w:tabs>
      </w:pPr>
      <w:r>
        <w:lastRenderedPageBreak/>
        <w:t xml:space="preserve">                                                                                                            </w:t>
      </w:r>
      <w:r>
        <w:tab/>
      </w:r>
    </w:p>
    <w:p w:rsidR="0051427F" w:rsidRDefault="0051427F" w:rsidP="000F24E0"/>
    <w:p w:rsidR="00FA1F6D" w:rsidRDefault="006D4B0C" w:rsidP="0051427F">
      <w:pPr>
        <w:tabs>
          <w:tab w:val="left" w:pos="6855"/>
          <w:tab w:val="left" w:pos="11580"/>
        </w:tabs>
        <w:ind w:firstLine="10490"/>
        <w:jc w:val="right"/>
      </w:pPr>
      <w:r>
        <w:t>Приложение № 5</w:t>
      </w:r>
      <w:r w:rsidR="00FA1F6D">
        <w:t xml:space="preserve">                                                                                                                                                                              к решению Юрьевской сельской Думы</w:t>
      </w:r>
    </w:p>
    <w:p w:rsidR="00DD2C73" w:rsidRDefault="00F043A7" w:rsidP="0051427F">
      <w:pPr>
        <w:tabs>
          <w:tab w:val="left" w:pos="6855"/>
          <w:tab w:val="left" w:pos="11580"/>
        </w:tabs>
        <w:ind w:firstLine="10490"/>
        <w:jc w:val="right"/>
      </w:pPr>
      <w:r>
        <w:t>о</w:t>
      </w:r>
      <w:r w:rsidR="002F04CB">
        <w:t>т</w:t>
      </w:r>
      <w:r>
        <w:t xml:space="preserve">   20.10.2021      </w:t>
      </w:r>
      <w:r w:rsidR="002F04CB">
        <w:t xml:space="preserve"> </w:t>
      </w:r>
      <w:r w:rsidR="00DD2C73">
        <w:t>№</w:t>
      </w:r>
      <w:r>
        <w:t>243</w:t>
      </w:r>
    </w:p>
    <w:p w:rsidR="002F04CB" w:rsidRDefault="002F04CB" w:rsidP="0051427F">
      <w:pPr>
        <w:tabs>
          <w:tab w:val="left" w:pos="6855"/>
          <w:tab w:val="left" w:pos="11580"/>
        </w:tabs>
        <w:ind w:firstLine="10490"/>
        <w:jc w:val="right"/>
      </w:pPr>
      <w:r>
        <w:t xml:space="preserve"> </w:t>
      </w:r>
    </w:p>
    <w:p w:rsidR="002F04CB" w:rsidRPr="002F04CB" w:rsidRDefault="002F04CB" w:rsidP="002F04CB">
      <w:pPr>
        <w:jc w:val="center"/>
        <w:rPr>
          <w:sz w:val="28"/>
          <w:szCs w:val="28"/>
        </w:rPr>
      </w:pPr>
      <w:r w:rsidRPr="002F04CB">
        <w:rPr>
          <w:b/>
          <w:sz w:val="28"/>
          <w:szCs w:val="28"/>
        </w:rPr>
        <w:t>Штатное расписание</w:t>
      </w:r>
    </w:p>
    <w:p w:rsidR="002F04CB" w:rsidRPr="002F04CB" w:rsidRDefault="002F04CB" w:rsidP="002F04CB">
      <w:pPr>
        <w:spacing w:line="288" w:lineRule="auto"/>
        <w:jc w:val="center"/>
        <w:rPr>
          <w:b/>
          <w:sz w:val="18"/>
          <w:szCs w:val="18"/>
        </w:rPr>
      </w:pPr>
      <w:r w:rsidRPr="002F04CB">
        <w:rPr>
          <w:b/>
          <w:sz w:val="28"/>
          <w:szCs w:val="28"/>
        </w:rPr>
        <w:t>Расчёт потребности по оплате труда муниципальной пожарной охраны  по Администрации Юрьевского сельского поселения с 01.09.2021</w:t>
      </w:r>
    </w:p>
    <w:p w:rsidR="002F04CB" w:rsidRPr="002F04CB" w:rsidRDefault="002F04CB" w:rsidP="002F04CB">
      <w:pPr>
        <w:spacing w:line="288" w:lineRule="auto"/>
        <w:rPr>
          <w:b/>
          <w:sz w:val="22"/>
          <w:szCs w:val="22"/>
        </w:rPr>
      </w:pPr>
    </w:p>
    <w:tbl>
      <w:tblPr>
        <w:tblW w:w="15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48"/>
        <w:gridCol w:w="1080"/>
        <w:gridCol w:w="1260"/>
        <w:gridCol w:w="1476"/>
        <w:gridCol w:w="1209"/>
        <w:gridCol w:w="1209"/>
        <w:gridCol w:w="1910"/>
        <w:gridCol w:w="1843"/>
        <w:gridCol w:w="1985"/>
      </w:tblGrid>
      <w:tr w:rsidR="002F04CB" w:rsidRPr="002F04CB" w:rsidTr="00632656">
        <w:trPr>
          <w:trHeight w:val="690"/>
        </w:trPr>
        <w:tc>
          <w:tcPr>
            <w:tcW w:w="1809" w:type="dxa"/>
            <w:vMerge w:val="restart"/>
          </w:tcPr>
          <w:p w:rsidR="002F04CB" w:rsidRPr="002F04CB" w:rsidRDefault="002F04CB" w:rsidP="002F04C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548" w:type="dxa"/>
            <w:vMerge w:val="restart"/>
          </w:tcPr>
          <w:p w:rsidR="002F04CB" w:rsidRPr="002F04CB" w:rsidRDefault="002F04CB" w:rsidP="002F04C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Наименование должности</w:t>
            </w:r>
          </w:p>
        </w:tc>
        <w:tc>
          <w:tcPr>
            <w:tcW w:w="1080" w:type="dxa"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Оклад</w:t>
            </w:r>
          </w:p>
        </w:tc>
        <w:tc>
          <w:tcPr>
            <w:tcW w:w="1260" w:type="dxa"/>
            <w:vMerge w:val="restart"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Сумма по должностному окладу</w:t>
            </w:r>
          </w:p>
        </w:tc>
        <w:tc>
          <w:tcPr>
            <w:tcW w:w="1476" w:type="dxa"/>
            <w:vMerge w:val="restart"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Доплата за особые условия    (108,335%</w:t>
            </w:r>
            <w:proofErr w:type="gramStart"/>
            <w:r w:rsidRPr="002F04CB">
              <w:rPr>
                <w:b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209" w:type="dxa"/>
            <w:vMerge w:val="restart"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Ночные</w:t>
            </w:r>
          </w:p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(35%)</w:t>
            </w:r>
          </w:p>
        </w:tc>
        <w:tc>
          <w:tcPr>
            <w:tcW w:w="1209" w:type="dxa"/>
            <w:vMerge w:val="restart"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Премия (100%)</w:t>
            </w:r>
          </w:p>
        </w:tc>
        <w:tc>
          <w:tcPr>
            <w:tcW w:w="1910" w:type="dxa"/>
            <w:vMerge w:val="restart"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Надбавка за квалификационный разряд классность(%)</w:t>
            </w:r>
          </w:p>
        </w:tc>
        <w:tc>
          <w:tcPr>
            <w:tcW w:w="1843" w:type="dxa"/>
            <w:vMerge w:val="restart"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 xml:space="preserve">Надбавка </w:t>
            </w:r>
            <w:proofErr w:type="gramStart"/>
            <w:r w:rsidRPr="002F04CB">
              <w:rPr>
                <w:b/>
                <w:sz w:val="22"/>
                <w:szCs w:val="22"/>
              </w:rPr>
              <w:t>до</w:t>
            </w:r>
            <w:proofErr w:type="gramEnd"/>
            <w:r w:rsidRPr="002F04CB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2F04CB">
              <w:rPr>
                <w:b/>
                <w:sz w:val="22"/>
                <w:szCs w:val="22"/>
              </w:rPr>
              <w:t>МРОТ</w:t>
            </w:r>
            <w:proofErr w:type="gramEnd"/>
            <w:r w:rsidRPr="002F04CB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2F04CB">
              <w:rPr>
                <w:b/>
                <w:sz w:val="22"/>
                <w:szCs w:val="22"/>
              </w:rPr>
              <w:t>руб</w:t>
            </w:r>
            <w:proofErr w:type="spellEnd"/>
            <w:r w:rsidRPr="002F04C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vMerge w:val="restart"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Месячный ФОТ</w:t>
            </w:r>
          </w:p>
        </w:tc>
      </w:tr>
      <w:tr w:rsidR="002F04CB" w:rsidRPr="002F04CB" w:rsidTr="00632656">
        <w:trPr>
          <w:trHeight w:val="1315"/>
        </w:trPr>
        <w:tc>
          <w:tcPr>
            <w:tcW w:w="1809" w:type="dxa"/>
            <w:vMerge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548" w:type="dxa"/>
            <w:vMerge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Количество ставок</w:t>
            </w:r>
          </w:p>
        </w:tc>
        <w:tc>
          <w:tcPr>
            <w:tcW w:w="1260" w:type="dxa"/>
            <w:vMerge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vMerge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vMerge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910" w:type="dxa"/>
            <w:vMerge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2F04CB" w:rsidRPr="002F04CB" w:rsidTr="00632656">
        <w:trPr>
          <w:trHeight w:val="410"/>
        </w:trPr>
        <w:tc>
          <w:tcPr>
            <w:tcW w:w="1809" w:type="dxa"/>
            <w:vMerge w:val="restart"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Загайнов Виталий Владимирович</w:t>
            </w:r>
          </w:p>
        </w:tc>
        <w:tc>
          <w:tcPr>
            <w:tcW w:w="1548" w:type="dxa"/>
            <w:vMerge w:val="restart"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Начальник муниципальной пожарной охраны</w:t>
            </w:r>
          </w:p>
        </w:tc>
        <w:tc>
          <w:tcPr>
            <w:tcW w:w="1080" w:type="dxa"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4952,00</w:t>
            </w:r>
          </w:p>
        </w:tc>
        <w:tc>
          <w:tcPr>
            <w:tcW w:w="1260" w:type="dxa"/>
            <w:vMerge w:val="restart"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4952,00</w:t>
            </w:r>
          </w:p>
        </w:tc>
        <w:tc>
          <w:tcPr>
            <w:tcW w:w="1476" w:type="dxa"/>
            <w:vMerge w:val="restart"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108,335%</w:t>
            </w:r>
          </w:p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5364,75</w:t>
            </w:r>
          </w:p>
        </w:tc>
        <w:tc>
          <w:tcPr>
            <w:tcW w:w="1209" w:type="dxa"/>
            <w:vMerge w:val="restart"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vMerge w:val="restart"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4952,00</w:t>
            </w:r>
          </w:p>
        </w:tc>
        <w:tc>
          <w:tcPr>
            <w:tcW w:w="1910" w:type="dxa"/>
            <w:vMerge w:val="restart"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985" w:type="dxa"/>
            <w:vMerge w:val="restart"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15268,75</w:t>
            </w:r>
          </w:p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(37 окладов)</w:t>
            </w:r>
          </w:p>
        </w:tc>
      </w:tr>
      <w:tr w:rsidR="002F04CB" w:rsidRPr="002F04CB" w:rsidTr="00632656">
        <w:trPr>
          <w:trHeight w:val="810"/>
        </w:trPr>
        <w:tc>
          <w:tcPr>
            <w:tcW w:w="1809" w:type="dxa"/>
            <w:vMerge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548" w:type="dxa"/>
            <w:vMerge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260" w:type="dxa"/>
            <w:vMerge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vMerge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vMerge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910" w:type="dxa"/>
            <w:vMerge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2F04CB" w:rsidRPr="002F04CB" w:rsidTr="00632656">
        <w:trPr>
          <w:trHeight w:val="315"/>
        </w:trPr>
        <w:tc>
          <w:tcPr>
            <w:tcW w:w="1809" w:type="dxa"/>
            <w:vMerge w:val="restart"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Макаров Михаил Петрович</w:t>
            </w:r>
          </w:p>
        </w:tc>
        <w:tc>
          <w:tcPr>
            <w:tcW w:w="1548" w:type="dxa"/>
            <w:vMerge w:val="restart"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Водитель</w:t>
            </w:r>
          </w:p>
        </w:tc>
        <w:tc>
          <w:tcPr>
            <w:tcW w:w="1080" w:type="dxa"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4062,00</w:t>
            </w:r>
          </w:p>
        </w:tc>
        <w:tc>
          <w:tcPr>
            <w:tcW w:w="1260" w:type="dxa"/>
            <w:vMerge w:val="restart"/>
          </w:tcPr>
          <w:p w:rsidR="002F04CB" w:rsidRPr="002F04CB" w:rsidRDefault="002F04CB" w:rsidP="002F04CB">
            <w:pPr>
              <w:spacing w:line="288" w:lineRule="auto"/>
              <w:rPr>
                <w:sz w:val="26"/>
                <w:szCs w:val="18"/>
              </w:rPr>
            </w:pPr>
            <w:r w:rsidRPr="002F04CB">
              <w:rPr>
                <w:b/>
                <w:sz w:val="22"/>
                <w:szCs w:val="22"/>
              </w:rPr>
              <w:t>4062,00</w:t>
            </w:r>
          </w:p>
        </w:tc>
        <w:tc>
          <w:tcPr>
            <w:tcW w:w="1476" w:type="dxa"/>
            <w:vMerge w:val="restart"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50%</w:t>
            </w:r>
          </w:p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2031,00</w:t>
            </w:r>
          </w:p>
        </w:tc>
        <w:tc>
          <w:tcPr>
            <w:tcW w:w="1209" w:type="dxa"/>
            <w:vMerge w:val="restart"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1421,70</w:t>
            </w:r>
          </w:p>
        </w:tc>
        <w:tc>
          <w:tcPr>
            <w:tcW w:w="1209" w:type="dxa"/>
            <w:vMerge w:val="restart"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4062,00</w:t>
            </w:r>
          </w:p>
        </w:tc>
        <w:tc>
          <w:tcPr>
            <w:tcW w:w="1910" w:type="dxa"/>
            <w:vMerge w:val="restart"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20%</w:t>
            </w:r>
          </w:p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812,40</w:t>
            </w:r>
          </w:p>
        </w:tc>
        <w:tc>
          <w:tcPr>
            <w:tcW w:w="1843" w:type="dxa"/>
            <w:vMerge w:val="restart"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402,90</w:t>
            </w:r>
          </w:p>
        </w:tc>
        <w:tc>
          <w:tcPr>
            <w:tcW w:w="1985" w:type="dxa"/>
            <w:vMerge w:val="restart"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12792,00</w:t>
            </w:r>
          </w:p>
        </w:tc>
      </w:tr>
      <w:tr w:rsidR="002F04CB" w:rsidRPr="002F04CB" w:rsidTr="00632656">
        <w:trPr>
          <w:trHeight w:val="480"/>
        </w:trPr>
        <w:tc>
          <w:tcPr>
            <w:tcW w:w="1809" w:type="dxa"/>
            <w:vMerge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548" w:type="dxa"/>
            <w:vMerge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260" w:type="dxa"/>
            <w:vMerge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vMerge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vMerge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910" w:type="dxa"/>
            <w:vMerge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2F04CB" w:rsidRPr="002F04CB" w:rsidTr="00632656">
        <w:trPr>
          <w:trHeight w:val="345"/>
        </w:trPr>
        <w:tc>
          <w:tcPr>
            <w:tcW w:w="1809" w:type="dxa"/>
            <w:vMerge w:val="restart"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 xml:space="preserve">Груздев </w:t>
            </w:r>
          </w:p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Леонид Васильевич</w:t>
            </w:r>
          </w:p>
        </w:tc>
        <w:tc>
          <w:tcPr>
            <w:tcW w:w="1548" w:type="dxa"/>
            <w:vMerge w:val="restart"/>
          </w:tcPr>
          <w:p w:rsidR="002F04CB" w:rsidRPr="002F04CB" w:rsidRDefault="002F04CB" w:rsidP="002F04CB">
            <w:pPr>
              <w:spacing w:line="288" w:lineRule="auto"/>
              <w:rPr>
                <w:sz w:val="26"/>
                <w:szCs w:val="18"/>
              </w:rPr>
            </w:pPr>
            <w:r w:rsidRPr="002F04CB">
              <w:rPr>
                <w:b/>
                <w:sz w:val="22"/>
                <w:szCs w:val="22"/>
              </w:rPr>
              <w:t>Водитель</w:t>
            </w:r>
          </w:p>
        </w:tc>
        <w:tc>
          <w:tcPr>
            <w:tcW w:w="1080" w:type="dxa"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4062,00</w:t>
            </w:r>
          </w:p>
        </w:tc>
        <w:tc>
          <w:tcPr>
            <w:tcW w:w="1260" w:type="dxa"/>
            <w:vMerge w:val="restart"/>
          </w:tcPr>
          <w:p w:rsidR="002F04CB" w:rsidRPr="002F04CB" w:rsidRDefault="002F04CB" w:rsidP="002F04CB">
            <w:pPr>
              <w:spacing w:line="288" w:lineRule="auto"/>
              <w:rPr>
                <w:sz w:val="26"/>
                <w:szCs w:val="18"/>
              </w:rPr>
            </w:pPr>
            <w:r w:rsidRPr="002F04CB">
              <w:rPr>
                <w:b/>
                <w:sz w:val="22"/>
                <w:szCs w:val="22"/>
              </w:rPr>
              <w:t>4062,00</w:t>
            </w:r>
          </w:p>
        </w:tc>
        <w:tc>
          <w:tcPr>
            <w:tcW w:w="1476" w:type="dxa"/>
            <w:vMerge w:val="restart"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50%</w:t>
            </w:r>
          </w:p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2031,00</w:t>
            </w:r>
          </w:p>
        </w:tc>
        <w:tc>
          <w:tcPr>
            <w:tcW w:w="1209" w:type="dxa"/>
            <w:vMerge w:val="restart"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1421,70</w:t>
            </w:r>
          </w:p>
        </w:tc>
        <w:tc>
          <w:tcPr>
            <w:tcW w:w="1209" w:type="dxa"/>
            <w:vMerge w:val="restart"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4062,00</w:t>
            </w:r>
          </w:p>
        </w:tc>
        <w:tc>
          <w:tcPr>
            <w:tcW w:w="1910" w:type="dxa"/>
            <w:vMerge w:val="restart"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20%</w:t>
            </w:r>
          </w:p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812,40</w:t>
            </w:r>
          </w:p>
        </w:tc>
        <w:tc>
          <w:tcPr>
            <w:tcW w:w="1843" w:type="dxa"/>
            <w:vMerge w:val="restart"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402,90</w:t>
            </w:r>
          </w:p>
        </w:tc>
        <w:tc>
          <w:tcPr>
            <w:tcW w:w="1985" w:type="dxa"/>
            <w:vMerge w:val="restart"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12792,00</w:t>
            </w:r>
          </w:p>
        </w:tc>
      </w:tr>
      <w:tr w:rsidR="002F04CB" w:rsidRPr="002F04CB" w:rsidTr="00632656">
        <w:trPr>
          <w:trHeight w:val="450"/>
        </w:trPr>
        <w:tc>
          <w:tcPr>
            <w:tcW w:w="1809" w:type="dxa"/>
            <w:vMerge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548" w:type="dxa"/>
            <w:vMerge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260" w:type="dxa"/>
            <w:vMerge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vMerge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vMerge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910" w:type="dxa"/>
            <w:vMerge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2F04CB" w:rsidRPr="002F04CB" w:rsidTr="00632656">
        <w:trPr>
          <w:trHeight w:val="375"/>
        </w:trPr>
        <w:tc>
          <w:tcPr>
            <w:tcW w:w="1809" w:type="dxa"/>
            <w:vMerge w:val="restart"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Парфёнов Виктор Алексеевич</w:t>
            </w:r>
          </w:p>
        </w:tc>
        <w:tc>
          <w:tcPr>
            <w:tcW w:w="1548" w:type="dxa"/>
            <w:vMerge w:val="restart"/>
          </w:tcPr>
          <w:p w:rsidR="002F04CB" w:rsidRPr="002F04CB" w:rsidRDefault="002F04CB" w:rsidP="002F04CB">
            <w:pPr>
              <w:spacing w:line="288" w:lineRule="auto"/>
              <w:rPr>
                <w:sz w:val="26"/>
                <w:szCs w:val="18"/>
              </w:rPr>
            </w:pPr>
            <w:r w:rsidRPr="002F04CB">
              <w:rPr>
                <w:b/>
                <w:sz w:val="22"/>
                <w:szCs w:val="22"/>
              </w:rPr>
              <w:t>Водитель</w:t>
            </w:r>
          </w:p>
        </w:tc>
        <w:tc>
          <w:tcPr>
            <w:tcW w:w="1080" w:type="dxa"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4062,00</w:t>
            </w:r>
          </w:p>
        </w:tc>
        <w:tc>
          <w:tcPr>
            <w:tcW w:w="1260" w:type="dxa"/>
            <w:vMerge w:val="restart"/>
          </w:tcPr>
          <w:p w:rsidR="002F04CB" w:rsidRPr="002F04CB" w:rsidRDefault="002F04CB" w:rsidP="002F04CB">
            <w:pPr>
              <w:spacing w:line="288" w:lineRule="auto"/>
              <w:rPr>
                <w:sz w:val="26"/>
                <w:szCs w:val="18"/>
              </w:rPr>
            </w:pPr>
            <w:r w:rsidRPr="002F04CB">
              <w:rPr>
                <w:b/>
                <w:sz w:val="22"/>
                <w:szCs w:val="22"/>
              </w:rPr>
              <w:t>4062,00</w:t>
            </w:r>
          </w:p>
        </w:tc>
        <w:tc>
          <w:tcPr>
            <w:tcW w:w="1476" w:type="dxa"/>
            <w:vMerge w:val="restart"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50%</w:t>
            </w:r>
          </w:p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2031,00</w:t>
            </w:r>
          </w:p>
        </w:tc>
        <w:tc>
          <w:tcPr>
            <w:tcW w:w="1209" w:type="dxa"/>
            <w:vMerge w:val="restart"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1421,70</w:t>
            </w:r>
          </w:p>
        </w:tc>
        <w:tc>
          <w:tcPr>
            <w:tcW w:w="1209" w:type="dxa"/>
            <w:vMerge w:val="restart"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4062,00</w:t>
            </w:r>
          </w:p>
        </w:tc>
        <w:tc>
          <w:tcPr>
            <w:tcW w:w="1910" w:type="dxa"/>
            <w:vMerge w:val="restart"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1215,30</w:t>
            </w:r>
          </w:p>
        </w:tc>
        <w:tc>
          <w:tcPr>
            <w:tcW w:w="1985" w:type="dxa"/>
            <w:vMerge w:val="restart"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12792,00</w:t>
            </w:r>
          </w:p>
        </w:tc>
      </w:tr>
      <w:tr w:rsidR="002F04CB" w:rsidRPr="002F04CB" w:rsidTr="00632656">
        <w:trPr>
          <w:trHeight w:val="420"/>
        </w:trPr>
        <w:tc>
          <w:tcPr>
            <w:tcW w:w="1809" w:type="dxa"/>
            <w:vMerge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548" w:type="dxa"/>
            <w:vMerge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260" w:type="dxa"/>
            <w:vMerge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vMerge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vMerge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910" w:type="dxa"/>
            <w:vMerge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2F04CB" w:rsidRPr="002F04CB" w:rsidTr="00632656">
        <w:trPr>
          <w:trHeight w:val="285"/>
        </w:trPr>
        <w:tc>
          <w:tcPr>
            <w:tcW w:w="1809" w:type="dxa"/>
            <w:vMerge w:val="restart"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548" w:type="dxa"/>
            <w:vMerge w:val="restart"/>
          </w:tcPr>
          <w:p w:rsidR="002F04CB" w:rsidRPr="002F04CB" w:rsidRDefault="002F04CB" w:rsidP="002F04CB">
            <w:pPr>
              <w:spacing w:line="288" w:lineRule="auto"/>
              <w:rPr>
                <w:sz w:val="26"/>
                <w:szCs w:val="18"/>
              </w:rPr>
            </w:pPr>
            <w:r w:rsidRPr="002F04CB">
              <w:rPr>
                <w:b/>
                <w:sz w:val="22"/>
                <w:szCs w:val="22"/>
              </w:rPr>
              <w:t>Водитель</w:t>
            </w:r>
          </w:p>
        </w:tc>
        <w:tc>
          <w:tcPr>
            <w:tcW w:w="1080" w:type="dxa"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4062,00</w:t>
            </w:r>
          </w:p>
        </w:tc>
        <w:tc>
          <w:tcPr>
            <w:tcW w:w="1260" w:type="dxa"/>
            <w:vMerge w:val="restart"/>
          </w:tcPr>
          <w:p w:rsidR="002F04CB" w:rsidRPr="002F04CB" w:rsidRDefault="002F04CB" w:rsidP="002F04CB">
            <w:pPr>
              <w:spacing w:line="288" w:lineRule="auto"/>
              <w:rPr>
                <w:sz w:val="26"/>
                <w:szCs w:val="18"/>
              </w:rPr>
            </w:pPr>
            <w:r w:rsidRPr="002F04CB">
              <w:rPr>
                <w:b/>
                <w:sz w:val="22"/>
                <w:szCs w:val="22"/>
              </w:rPr>
              <w:t>4062,00</w:t>
            </w:r>
          </w:p>
        </w:tc>
        <w:tc>
          <w:tcPr>
            <w:tcW w:w="1476" w:type="dxa"/>
            <w:vMerge w:val="restart"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50%</w:t>
            </w:r>
          </w:p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2031,00</w:t>
            </w:r>
          </w:p>
        </w:tc>
        <w:tc>
          <w:tcPr>
            <w:tcW w:w="1209" w:type="dxa"/>
            <w:vMerge w:val="restart"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1421,70</w:t>
            </w:r>
          </w:p>
        </w:tc>
        <w:tc>
          <w:tcPr>
            <w:tcW w:w="1209" w:type="dxa"/>
            <w:vMerge w:val="restart"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4062,00</w:t>
            </w:r>
          </w:p>
        </w:tc>
        <w:tc>
          <w:tcPr>
            <w:tcW w:w="1910" w:type="dxa"/>
            <w:vMerge w:val="restart"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1215,30</w:t>
            </w:r>
          </w:p>
        </w:tc>
        <w:tc>
          <w:tcPr>
            <w:tcW w:w="1985" w:type="dxa"/>
            <w:vMerge w:val="restart"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12792,00</w:t>
            </w:r>
          </w:p>
        </w:tc>
      </w:tr>
      <w:tr w:rsidR="002F04CB" w:rsidRPr="002F04CB" w:rsidTr="00632656">
        <w:trPr>
          <w:trHeight w:val="510"/>
        </w:trPr>
        <w:tc>
          <w:tcPr>
            <w:tcW w:w="1809" w:type="dxa"/>
            <w:vMerge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548" w:type="dxa"/>
            <w:vMerge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  <w:r w:rsidRPr="002F04CB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260" w:type="dxa"/>
            <w:vMerge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vMerge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vMerge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910" w:type="dxa"/>
            <w:vMerge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F04CB" w:rsidRPr="002F04CB" w:rsidRDefault="002F04CB" w:rsidP="002F04CB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</w:tr>
    </w:tbl>
    <w:p w:rsidR="00FA1F6D" w:rsidRPr="00DD2C73" w:rsidRDefault="00FA1F6D" w:rsidP="00DD2C73">
      <w:pPr>
        <w:spacing w:line="288" w:lineRule="auto"/>
        <w:rPr>
          <w:sz w:val="22"/>
          <w:szCs w:val="22"/>
        </w:rPr>
      </w:pPr>
      <w:r>
        <w:t xml:space="preserve">                  </w:t>
      </w:r>
      <w:r w:rsidR="00B61758">
        <w:t xml:space="preserve">                            </w:t>
      </w:r>
    </w:p>
    <w:sectPr w:rsidR="00FA1F6D" w:rsidRPr="00DD2C73" w:rsidSect="00B61758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BE" w:rsidRDefault="00DF24BE" w:rsidP="00FA1F6D">
      <w:r>
        <w:separator/>
      </w:r>
    </w:p>
  </w:endnote>
  <w:endnote w:type="continuationSeparator" w:id="0">
    <w:p w:rsidR="00DF24BE" w:rsidRDefault="00DF24BE" w:rsidP="00FA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BE" w:rsidRDefault="00DF24BE" w:rsidP="00FA1F6D">
      <w:r>
        <w:separator/>
      </w:r>
    </w:p>
  </w:footnote>
  <w:footnote w:type="continuationSeparator" w:id="0">
    <w:p w:rsidR="00DF24BE" w:rsidRDefault="00DF24BE" w:rsidP="00FA1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E0"/>
    <w:rsid w:val="000F24E0"/>
    <w:rsid w:val="00120E52"/>
    <w:rsid w:val="00145897"/>
    <w:rsid w:val="00191507"/>
    <w:rsid w:val="001B5CAF"/>
    <w:rsid w:val="002A5AB1"/>
    <w:rsid w:val="002F04CB"/>
    <w:rsid w:val="003112D0"/>
    <w:rsid w:val="00330662"/>
    <w:rsid w:val="00345C89"/>
    <w:rsid w:val="0038503E"/>
    <w:rsid w:val="003953B6"/>
    <w:rsid w:val="003A2506"/>
    <w:rsid w:val="003C4BDD"/>
    <w:rsid w:val="00453B85"/>
    <w:rsid w:val="0051427F"/>
    <w:rsid w:val="00641594"/>
    <w:rsid w:val="006D4B0C"/>
    <w:rsid w:val="00700082"/>
    <w:rsid w:val="00714332"/>
    <w:rsid w:val="007354F6"/>
    <w:rsid w:val="007C5AA0"/>
    <w:rsid w:val="008A524F"/>
    <w:rsid w:val="009B571F"/>
    <w:rsid w:val="00A659E3"/>
    <w:rsid w:val="00B61758"/>
    <w:rsid w:val="00BE0FF7"/>
    <w:rsid w:val="00C27A0E"/>
    <w:rsid w:val="00C40BFA"/>
    <w:rsid w:val="00CC09CA"/>
    <w:rsid w:val="00D02135"/>
    <w:rsid w:val="00D437D0"/>
    <w:rsid w:val="00D54844"/>
    <w:rsid w:val="00DD2C73"/>
    <w:rsid w:val="00DF24BE"/>
    <w:rsid w:val="00E21626"/>
    <w:rsid w:val="00E514DF"/>
    <w:rsid w:val="00E71A93"/>
    <w:rsid w:val="00EC1349"/>
    <w:rsid w:val="00ED34AA"/>
    <w:rsid w:val="00EF0600"/>
    <w:rsid w:val="00F043A7"/>
    <w:rsid w:val="00F22E1A"/>
    <w:rsid w:val="00F75B66"/>
    <w:rsid w:val="00F807C2"/>
    <w:rsid w:val="00FA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E0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4E0"/>
    <w:pPr>
      <w:spacing w:before="100" w:beforeAutospacing="1" w:after="119"/>
    </w:pPr>
  </w:style>
  <w:style w:type="paragraph" w:styleId="a4">
    <w:name w:val="No Spacing"/>
    <w:uiPriority w:val="1"/>
    <w:qFormat/>
    <w:rsid w:val="000F24E0"/>
    <w:pPr>
      <w:spacing w:line="240" w:lineRule="auto"/>
      <w:ind w:left="0"/>
    </w:pPr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uiPriority w:val="99"/>
    <w:semiHidden/>
    <w:rsid w:val="000F24E0"/>
    <w:pPr>
      <w:suppressLineNumbers/>
      <w:suppressAutoHyphens/>
      <w:overflowPunct w:val="0"/>
      <w:autoSpaceDE w:val="0"/>
    </w:pPr>
    <w:rPr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FA1F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1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1F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1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000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00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E0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4E0"/>
    <w:pPr>
      <w:spacing w:before="100" w:beforeAutospacing="1" w:after="119"/>
    </w:pPr>
  </w:style>
  <w:style w:type="paragraph" w:styleId="a4">
    <w:name w:val="No Spacing"/>
    <w:uiPriority w:val="1"/>
    <w:qFormat/>
    <w:rsid w:val="000F24E0"/>
    <w:pPr>
      <w:spacing w:line="240" w:lineRule="auto"/>
      <w:ind w:left="0"/>
    </w:pPr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uiPriority w:val="99"/>
    <w:semiHidden/>
    <w:rsid w:val="000F24E0"/>
    <w:pPr>
      <w:suppressLineNumbers/>
      <w:suppressAutoHyphens/>
      <w:overflowPunct w:val="0"/>
      <w:autoSpaceDE w:val="0"/>
    </w:pPr>
    <w:rPr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FA1F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1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1F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1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000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00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35CDF-B44A-41B0-A92B-A65C3852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2021-10-21T08:07:00Z</cp:lastPrinted>
  <dcterms:created xsi:type="dcterms:W3CDTF">2021-10-20T12:29:00Z</dcterms:created>
  <dcterms:modified xsi:type="dcterms:W3CDTF">2021-10-28T07:58:00Z</dcterms:modified>
</cp:coreProperties>
</file>